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640" w:lineRule="exact"/>
        <w:jc w:val="center"/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  <w:t>山东现代学院</w:t>
      </w:r>
    </w:p>
    <w:p>
      <w:pPr>
        <w:snapToGrid w:val="0"/>
        <w:spacing w:line="640" w:lineRule="exact"/>
        <w:jc w:val="center"/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  <w:t>青年</w:t>
      </w:r>
      <w:r>
        <w:rPr>
          <w:rFonts w:hint="eastAsia" w:ascii="仿宋" w:hAnsi="仿宋" w:eastAsia="仿宋" w:cs="仿宋"/>
          <w:bCs/>
          <w:kern w:val="0"/>
          <w:sz w:val="36"/>
          <w:szCs w:val="36"/>
        </w:rPr>
        <w:t>教师教学</w:t>
      </w:r>
      <w:r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  <w:t>比赛</w:t>
      </w:r>
      <w:r>
        <w:rPr>
          <w:rFonts w:hint="eastAsia" w:ascii="仿宋" w:hAnsi="仿宋" w:eastAsia="仿宋" w:cs="仿宋"/>
          <w:bCs/>
          <w:kern w:val="0"/>
          <w:sz w:val="36"/>
          <w:szCs w:val="36"/>
        </w:rPr>
        <w:t>实施方案</w:t>
      </w:r>
    </w:p>
    <w:p>
      <w:pPr>
        <w:pStyle w:val="5"/>
        <w:adjustRightInd w:val="0"/>
        <w:snapToGrid w:val="0"/>
        <w:spacing w:line="580" w:lineRule="exact"/>
        <w:rPr>
          <w:rFonts w:hint="eastAsia" w:ascii="仿宋" w:hAnsi="仿宋" w:eastAsia="仿宋" w:cs="仿宋"/>
          <w:color w:val="000000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为进一步提升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我院</w:t>
      </w:r>
      <w:r>
        <w:rPr>
          <w:rFonts w:hint="eastAsia" w:ascii="仿宋" w:hAnsi="仿宋" w:eastAsia="仿宋" w:cs="仿宋"/>
          <w:sz w:val="32"/>
          <w:szCs w:val="32"/>
        </w:rPr>
        <w:t>青年教师教学能力和水平，促进青年教师专业发展，调动广大青年教师投身课堂教学、开展教学研究和教学改革的积极性，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现举办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2019-2020学年第一学期青年教师教学比赛。</w:t>
      </w:r>
      <w:r>
        <w:rPr>
          <w:rFonts w:hint="eastAsia" w:ascii="仿宋" w:hAnsi="仿宋" w:eastAsia="仿宋" w:cs="仿宋"/>
          <w:kern w:val="0"/>
          <w:sz w:val="32"/>
          <w:szCs w:val="32"/>
        </w:rPr>
        <w:t>比赛坚持广泛参与和择优选拔相统一，尤其注重选手的教学基本功和实际应用能力。为保证比赛的公平公开公正，确保评选程序严谨规范，特制定本实施方案。</w:t>
      </w:r>
      <w:r>
        <w:rPr>
          <w:rFonts w:hint="eastAsia" w:ascii="仿宋" w:hAnsi="仿宋" w:eastAsia="仿宋" w:cs="仿宋"/>
          <w:sz w:val="32"/>
          <w:szCs w:val="32"/>
        </w:rPr>
        <w:t>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将</w:t>
      </w:r>
      <w:r>
        <w:rPr>
          <w:rFonts w:hint="eastAsia" w:ascii="仿宋" w:hAnsi="仿宋" w:eastAsia="仿宋" w:cs="仿宋"/>
          <w:sz w:val="32"/>
          <w:szCs w:val="32"/>
        </w:rPr>
        <w:t>实施方案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公布</w:t>
      </w:r>
      <w:r>
        <w:rPr>
          <w:rFonts w:hint="eastAsia" w:ascii="仿宋" w:hAnsi="仿宋" w:eastAsia="仿宋" w:cs="仿宋"/>
          <w:sz w:val="32"/>
          <w:szCs w:val="32"/>
        </w:rPr>
        <w:t>如下：</w:t>
      </w:r>
    </w:p>
    <w:p>
      <w:pPr>
        <w:adjustRightInd w:val="0"/>
        <w:snapToGrid w:val="0"/>
        <w:spacing w:line="560" w:lineRule="exact"/>
        <w:ind w:firstLine="643" w:firstLineChars="200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一、指导思想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加强青年教师培养，鼓励青年教师更新教育理念，掌握现代教育教学方法，努力造就一支师德高尚、业务精湛、充满活力的高素质、专业化教师队伍，切实提高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我院</w:t>
      </w:r>
      <w:r>
        <w:rPr>
          <w:rFonts w:hint="eastAsia" w:ascii="仿宋" w:hAnsi="仿宋" w:eastAsia="仿宋" w:cs="仿宋"/>
          <w:sz w:val="32"/>
          <w:szCs w:val="32"/>
        </w:rPr>
        <w:t>青年教师教学水平和业务素质。</w:t>
      </w:r>
    </w:p>
    <w:p>
      <w:pPr>
        <w:adjustRightInd w:val="0"/>
        <w:snapToGrid w:val="0"/>
        <w:spacing w:line="560" w:lineRule="exact"/>
        <w:ind w:firstLine="643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二、组织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机构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山东现代学院教务处、教师发展中心</w:t>
      </w:r>
    </w:p>
    <w:p>
      <w:pPr>
        <w:pStyle w:val="5"/>
        <w:adjustRightInd w:val="0"/>
        <w:snapToGrid w:val="0"/>
        <w:spacing w:line="580" w:lineRule="exact"/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三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、参赛对象</w:t>
      </w:r>
    </w:p>
    <w:p>
      <w:pPr>
        <w:pStyle w:val="5"/>
        <w:adjustRightInd w:val="0"/>
        <w:snapToGrid w:val="0"/>
        <w:spacing w:line="58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年龄：40周岁以下教师</w:t>
      </w:r>
      <w:r>
        <w:rPr>
          <w:rFonts w:hint="eastAsia" w:ascii="仿宋" w:hAnsi="仿宋" w:eastAsia="仿宋" w:cs="仿宋"/>
          <w:sz w:val="32"/>
          <w:szCs w:val="32"/>
        </w:rPr>
        <w:t>（197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月1日后出生）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>
      <w:pPr>
        <w:numPr>
          <w:numId w:val="0"/>
        </w:numPr>
        <w:adjustRightInd w:val="0"/>
        <w:snapToGrid w:val="0"/>
        <w:spacing w:line="560" w:lineRule="exact"/>
        <w:ind w:firstLine="643" w:firstLineChars="200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四、</w:t>
      </w:r>
      <w:r>
        <w:rPr>
          <w:rFonts w:hint="eastAsia" w:ascii="仿宋" w:hAnsi="仿宋" w:eastAsia="仿宋" w:cs="仿宋"/>
          <w:b/>
          <w:sz w:val="32"/>
          <w:szCs w:val="32"/>
        </w:rPr>
        <w:t>比赛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要求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比赛分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为初赛和决赛，具体要求如下：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1.讲课内容要求：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（1）讲课内容从本学期教授专业课程中任选章节内容。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（2）必须用普通话授课，语言清晰、准确、生动。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（3）制作相应的PPT课件，板书规范。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（4）时间不超过20分钟，其中包括讲课和教学反思。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2.教案要求：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（1）参与比赛教师结合本学期所教授的课程撰写1学时的教案，体现一次完整的授课内容，比赛时同时呈现。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（2）教案内容必须符合课程教学标准的要求，教学步骤符合学生的认知水平，注重理论联系实际。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（3）参评教案格式采用学院日常教学统一规定的教案格式。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13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3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 w:val="0"/>
          <w:kern w:val="0"/>
          <w:sz w:val="32"/>
          <w:szCs w:val="32"/>
          <w:lang w:val="en-US" w:eastAsia="zh-CN" w:bidi="ar"/>
        </w:rPr>
        <w:t>五、比赛形式及赛程安排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（一）初赛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时间：2019年10月17日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组织方式：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院系</w:t>
      </w:r>
      <w:r>
        <w:rPr>
          <w:rFonts w:hint="eastAsia" w:ascii="仿宋" w:hAnsi="仿宋" w:eastAsia="仿宋" w:cs="仿宋"/>
          <w:sz w:val="32"/>
          <w:szCs w:val="32"/>
        </w:rPr>
        <w:t>选拔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19" w:leftChars="9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采用教师现场讲课的方式进行，由教务处统筹，各二级院系统一组织、开展，最终，各二级学院推选1-2名教师参加学院组织的决赛。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（二）决赛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时间：2019年10月24日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38" w:leftChars="304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组织方式：采用教师现场讲课的方式进行，由教务处系统一组织、开展；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3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 w:val="0"/>
          <w:kern w:val="0"/>
          <w:sz w:val="32"/>
          <w:szCs w:val="32"/>
          <w:lang w:val="en-US" w:eastAsia="zh-CN" w:bidi="ar"/>
        </w:rPr>
        <w:t>六、评分标准及评委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（一）评分标准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评分以学院教学比赛评分标准为依据。（见附件）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评分方式                                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统计评分时，采取去掉一个最高分和一个最低分、求和取平均值的方法来计算，满分100分。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（三）评委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"/>
        </w:rPr>
        <w:t>学院成立由房庆平副院长为组长的评委团，教务处负责人和各二级学院教学院长担任主要评委。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13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43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 w:val="0"/>
          <w:kern w:val="0"/>
          <w:sz w:val="32"/>
          <w:szCs w:val="32"/>
          <w:highlight w:val="none"/>
          <w:lang w:val="en-US" w:eastAsia="zh-CN" w:bidi="ar"/>
        </w:rPr>
        <w:t>七</w:t>
      </w:r>
      <w:bookmarkStart w:id="0" w:name="_GoBack"/>
      <w:bookmarkEnd w:id="0"/>
      <w:r>
        <w:rPr>
          <w:rFonts w:hint="eastAsia" w:ascii="仿宋" w:hAnsi="仿宋" w:eastAsia="仿宋" w:cs="仿宋"/>
          <w:b/>
          <w:bCs w:val="0"/>
          <w:kern w:val="0"/>
          <w:sz w:val="32"/>
          <w:szCs w:val="32"/>
          <w:highlight w:val="none"/>
          <w:lang w:val="en-US" w:eastAsia="zh-CN" w:bidi="ar"/>
        </w:rPr>
        <w:t>、 奖项设置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537" w:firstLineChars="168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"/>
        </w:rPr>
        <w:t>本次大赛分别设一等奖（2名）、二等奖（3名）、三等奖（5名）。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0" w:rightChars="0" w:firstLine="320" w:firstLineChars="1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附件：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山东现代学院教学比赛评分标准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tLeast"/>
        <w:ind w:right="0" w:firstLine="640" w:firstLineChars="2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tLeast"/>
        <w:ind w:right="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tLeast"/>
        <w:ind w:right="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tLeast"/>
        <w:ind w:right="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tLeast"/>
        <w:ind w:right="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tLeast"/>
        <w:ind w:right="0" w:firstLine="5120" w:firstLineChars="16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教务处 教师发展中心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tLeast"/>
        <w:ind w:right="0" w:firstLine="5440" w:firstLineChars="17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2019年10月10日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tLeast"/>
        <w:ind w:right="0" w:firstLine="5440" w:firstLineChars="17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tabs>
          <w:tab w:val="left" w:pos="1770"/>
          <w:tab w:val="center" w:pos="4213"/>
        </w:tabs>
        <w:snapToGrid w:val="0"/>
        <w:jc w:val="left"/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  <w:tab/>
      </w:r>
    </w:p>
    <w:p>
      <w:pPr>
        <w:tabs>
          <w:tab w:val="left" w:pos="1770"/>
          <w:tab w:val="center" w:pos="4213"/>
        </w:tabs>
        <w:snapToGrid w:val="0"/>
        <w:jc w:val="left"/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</w:pPr>
    </w:p>
    <w:p>
      <w:pPr>
        <w:tabs>
          <w:tab w:val="left" w:pos="1770"/>
          <w:tab w:val="center" w:pos="4213"/>
        </w:tabs>
        <w:snapToGrid w:val="0"/>
        <w:jc w:val="left"/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</w:pPr>
    </w:p>
    <w:p>
      <w:pPr>
        <w:tabs>
          <w:tab w:val="left" w:pos="1770"/>
          <w:tab w:val="center" w:pos="4213"/>
        </w:tabs>
        <w:snapToGrid w:val="0"/>
        <w:jc w:val="left"/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  <w:tab/>
      </w:r>
      <w:r>
        <w:rPr>
          <w:rFonts w:hint="eastAsia" w:ascii="仿宋" w:hAnsi="仿宋" w:eastAsia="仿宋" w:cs="仿宋"/>
          <w:bCs/>
          <w:kern w:val="0"/>
          <w:sz w:val="36"/>
          <w:szCs w:val="36"/>
        </w:rPr>
        <w:t>山东现代学院</w:t>
      </w:r>
      <w:r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  <w:t>教学比赛</w:t>
      </w:r>
      <w:r>
        <w:rPr>
          <w:rFonts w:hint="eastAsia" w:ascii="仿宋" w:hAnsi="仿宋" w:eastAsia="仿宋" w:cs="仿宋"/>
          <w:bCs/>
          <w:kern w:val="0"/>
          <w:sz w:val="36"/>
          <w:szCs w:val="36"/>
        </w:rPr>
        <w:t>评分</w:t>
      </w:r>
      <w:r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  <w:t>标准</w:t>
      </w:r>
    </w:p>
    <w:p>
      <w:pPr>
        <w:tabs>
          <w:tab w:val="left" w:pos="1770"/>
          <w:tab w:val="center" w:pos="4213"/>
        </w:tabs>
        <w:snapToGrid w:val="0"/>
        <w:jc w:val="left"/>
        <w:rPr>
          <w:rFonts w:hint="eastAsia" w:ascii="仿宋" w:hAnsi="仿宋" w:eastAsia="仿宋" w:cs="仿宋"/>
          <w:bCs/>
          <w:kern w:val="0"/>
          <w:sz w:val="36"/>
          <w:szCs w:val="36"/>
        </w:rPr>
      </w:pPr>
    </w:p>
    <w:tbl>
      <w:tblPr>
        <w:tblStyle w:val="2"/>
        <w:tblW w:w="841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1254"/>
        <w:gridCol w:w="5715"/>
        <w:gridCol w:w="75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</w:t>
            </w:r>
          </w:p>
        </w:tc>
        <w:tc>
          <w:tcPr>
            <w:tcW w:w="69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评测要求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分值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  <w:jc w:val="center"/>
        </w:trPr>
        <w:tc>
          <w:tcPr>
            <w:tcW w:w="695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课堂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教学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8</w:t>
            </w: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kern w:val="0"/>
                <w:sz w:val="24"/>
              </w:rPr>
              <w:t>分</w:t>
            </w:r>
          </w:p>
        </w:tc>
        <w:tc>
          <w:tcPr>
            <w:tcW w:w="1254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教学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内容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35分</w:t>
            </w:r>
          </w:p>
        </w:tc>
        <w:tc>
          <w:tcPr>
            <w:tcW w:w="57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教学</w:t>
            </w: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三维目标</w:t>
            </w:r>
            <w:r>
              <w:rPr>
                <w:rFonts w:hint="eastAsia" w:ascii="仿宋" w:hAnsi="仿宋" w:eastAsia="仿宋" w:cs="仿宋"/>
                <w:kern w:val="0"/>
                <w:sz w:val="24"/>
              </w:rPr>
              <w:t>明确</w:t>
            </w: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，教学重点突出，教学难点化易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  <w:jc w:val="center"/>
        </w:trPr>
        <w:tc>
          <w:tcPr>
            <w:tcW w:w="695" w:type="dxa"/>
            <w:vMerge w:val="continue"/>
            <w:tcBorders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continue"/>
            <w:tcBorders>
              <w:left w:val="nil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57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理论联系实际，符合学生的特点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  <w:jc w:val="center"/>
        </w:trPr>
        <w:tc>
          <w:tcPr>
            <w:tcW w:w="695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continue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571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注重学术性，内容充实，信息量大，渗透专业思想，为教学目标服务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95" w:type="dxa"/>
            <w:vMerge w:val="continue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57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反映或联系学科发展新思想、新概念、新成果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95" w:type="dxa"/>
            <w:vMerge w:val="continue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57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spacing w:val="-16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spacing w:val="-16"/>
                <w:kern w:val="0"/>
                <w:sz w:val="24"/>
              </w:rPr>
              <w:t>重点突出，条理清楚，内容承前启后，循序渐进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95" w:type="dxa"/>
            <w:vMerge w:val="continue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教学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组织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kern w:val="0"/>
                <w:sz w:val="24"/>
              </w:rPr>
              <w:t>分</w:t>
            </w:r>
          </w:p>
        </w:tc>
        <w:tc>
          <w:tcPr>
            <w:tcW w:w="57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教学过程安排合理，方法运用灵活、恰当，教学设计方案体现完整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695" w:type="dxa"/>
            <w:vMerge w:val="continue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57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启发性强，能有效调动学生思维和学习积极性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695" w:type="dxa"/>
            <w:vMerge w:val="continue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57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教学时间安排合理，课堂应变能力强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695" w:type="dxa"/>
            <w:vMerge w:val="continue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57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熟练、有效地运用多媒体等现代教学手段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95" w:type="dxa"/>
            <w:vMerge w:val="continue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57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spacing w:val="-16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spacing w:val="-16"/>
                <w:kern w:val="0"/>
                <w:sz w:val="24"/>
              </w:rPr>
              <w:t>板书设计与教学内容紧密联系、结构合理，板书与多媒体相配合，简洁、工整、美观、大小适当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695" w:type="dxa"/>
            <w:vMerge w:val="continue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语言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教态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kern w:val="0"/>
                <w:sz w:val="24"/>
              </w:rPr>
              <w:t>分</w:t>
            </w:r>
          </w:p>
        </w:tc>
        <w:tc>
          <w:tcPr>
            <w:tcW w:w="57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普通话讲课，语言清晰、流畅、准确、生动，语速节奏恰当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95" w:type="dxa"/>
            <w:vMerge w:val="continue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57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肢体语言运用合理、恰当，教态自然大方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95" w:type="dxa"/>
            <w:vMerge w:val="continue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571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教态仪表自然得体，精神饱满，亲和力强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695" w:type="dxa"/>
            <w:vMerge w:val="continue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教学特色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5分</w:t>
            </w:r>
          </w:p>
        </w:tc>
        <w:tc>
          <w:tcPr>
            <w:tcW w:w="5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spacing w:val="-16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spacing w:val="-16"/>
                <w:kern w:val="0"/>
                <w:sz w:val="24"/>
              </w:rPr>
              <w:t>教学理念先进、风格突出、感染力强、教学效果好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695" w:type="dxa"/>
            <w:vMerge w:val="restart"/>
            <w:tcBorders>
              <w:top w:val="nil"/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教学       设计</w:t>
            </w:r>
          </w:p>
          <w:p>
            <w:pPr>
              <w:spacing w:line="24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 xml:space="preserve">方案     </w:t>
            </w: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kern w:val="0"/>
                <w:sz w:val="24"/>
              </w:rPr>
              <w:t>分</w:t>
            </w: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nil"/>
              <w:right w:val="nil"/>
            </w:tcBorders>
            <w:noWrap w:val="0"/>
            <w:vAlign w:val="center"/>
          </w:tcPr>
          <w:p>
            <w:pPr>
              <w:tabs>
                <w:tab w:val="left" w:pos="362"/>
              </w:tabs>
              <w:spacing w:line="48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 xml:space="preserve">教学设计科学合理   </w:t>
            </w: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kern w:val="0"/>
                <w:sz w:val="24"/>
              </w:rPr>
              <w:t>分</w:t>
            </w:r>
          </w:p>
        </w:tc>
        <w:tc>
          <w:tcPr>
            <w:tcW w:w="5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left"/>
              <w:rPr>
                <w:rFonts w:hint="eastAsia" w:ascii="仿宋" w:hAnsi="仿宋" w:eastAsia="仿宋" w:cs="仿宋"/>
                <w:spacing w:val="-16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符合教学大纲，内容充实，反映学科前沿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695" w:type="dxa"/>
            <w:vMerge w:val="continue"/>
            <w:tcBorders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continue"/>
            <w:tcBorders>
              <w:left w:val="nil"/>
              <w:right w:val="nil"/>
            </w:tcBorders>
            <w:noWrap w:val="0"/>
            <w:vAlign w:val="center"/>
          </w:tcPr>
          <w:p>
            <w:pPr>
              <w:spacing w:line="480" w:lineRule="exact"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5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left"/>
              <w:rPr>
                <w:rFonts w:hint="eastAsia" w:ascii="仿宋" w:hAnsi="仿宋" w:eastAsia="仿宋" w:cs="仿宋"/>
                <w:spacing w:val="-16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教学目标明确、思路清晰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695" w:type="dxa"/>
            <w:vMerge w:val="continue"/>
            <w:tcBorders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continue"/>
            <w:tcBorders>
              <w:left w:val="nil"/>
              <w:right w:val="nil"/>
            </w:tcBorders>
            <w:noWrap w:val="0"/>
            <w:vAlign w:val="center"/>
          </w:tcPr>
          <w:p>
            <w:pPr>
              <w:spacing w:line="480" w:lineRule="exact"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5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left"/>
              <w:rPr>
                <w:rFonts w:hint="eastAsia" w:ascii="仿宋" w:hAnsi="仿宋" w:eastAsia="仿宋" w:cs="仿宋"/>
                <w:spacing w:val="-16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准确把握课程的重点和难点，针对性强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695" w:type="dxa"/>
            <w:vMerge w:val="continue"/>
            <w:tcBorders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continue"/>
            <w:tcBorders>
              <w:left w:val="nil"/>
              <w:right w:val="nil"/>
            </w:tcBorders>
            <w:noWrap w:val="0"/>
            <w:vAlign w:val="center"/>
          </w:tcPr>
          <w:p>
            <w:pPr>
              <w:spacing w:line="480" w:lineRule="exact"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5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left"/>
              <w:rPr>
                <w:rFonts w:hint="eastAsia" w:ascii="仿宋" w:hAnsi="仿宋" w:eastAsia="仿宋" w:cs="仿宋"/>
                <w:spacing w:val="-16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教学进程组织合理，方法手段运用恰当有效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695" w:type="dxa"/>
            <w:vMerge w:val="continue"/>
            <w:tcBorders>
              <w:left w:val="single" w:color="auto" w:sz="8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continue"/>
            <w:tcBorders>
              <w:left w:val="nil"/>
              <w:right w:val="nil"/>
            </w:tcBorders>
            <w:noWrap w:val="0"/>
            <w:vAlign w:val="center"/>
          </w:tcPr>
          <w:p>
            <w:pPr>
              <w:spacing w:line="480" w:lineRule="exact"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5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left"/>
              <w:rPr>
                <w:rFonts w:hint="eastAsia" w:ascii="仿宋" w:hAnsi="仿宋" w:eastAsia="仿宋" w:cs="仿宋"/>
                <w:spacing w:val="-16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文字表达准确、简洁，阐述清楚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695" w:type="dxa"/>
            <w:vMerge w:val="continue"/>
            <w:tcBorders>
              <w:left w:val="single" w:color="auto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54" w:type="dxa"/>
            <w:vMerge w:val="continue"/>
            <w:tcBorders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spacing w:line="480" w:lineRule="exact"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5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教学设计项目完整齐全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３</w:t>
            </w:r>
          </w:p>
        </w:tc>
      </w:tr>
    </w:tbl>
    <w:p>
      <w:pPr>
        <w:jc w:val="left"/>
        <w:rPr>
          <w:rFonts w:hint="eastAsia" w:ascii="仿宋" w:hAnsi="仿宋" w:eastAsia="仿宋" w:cs="仿宋"/>
        </w:rPr>
      </w:pPr>
    </w:p>
    <w:p>
      <w:pPr>
        <w:jc w:val="left"/>
        <w:rPr>
          <w:rFonts w:hint="eastAsia" w:ascii="仿宋" w:hAnsi="仿宋" w:eastAsia="仿宋" w:cs="仿宋"/>
        </w:rPr>
      </w:pPr>
    </w:p>
    <w:p>
      <w:pPr>
        <w:jc w:val="left"/>
        <w:rPr>
          <w:rFonts w:hint="eastAsia" w:ascii="仿宋" w:hAnsi="仿宋" w:eastAsia="仿宋" w:cs="仿宋"/>
        </w:rPr>
      </w:pPr>
    </w:p>
    <w:p>
      <w:pPr>
        <w:jc w:val="left"/>
        <w:rPr>
          <w:rFonts w:hint="eastAsia" w:ascii="仿宋" w:hAnsi="仿宋" w:eastAsia="仿宋" w:cs="仿宋"/>
        </w:rPr>
      </w:pPr>
    </w:p>
    <w:p>
      <w:pPr>
        <w:jc w:val="left"/>
        <w:rPr>
          <w:rFonts w:hint="eastAsia" w:ascii="仿宋" w:hAnsi="仿宋" w:eastAsia="仿宋" w:cs="仿宋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jc w:val="left"/>
        <w:rPr>
          <w:rFonts w:hint="eastAsia" w:ascii="仿宋" w:hAnsi="仿宋" w:eastAsia="仿宋" w:cs="仿宋"/>
        </w:rPr>
      </w:pPr>
    </w:p>
    <w:p>
      <w:pPr>
        <w:tabs>
          <w:tab w:val="left" w:pos="1770"/>
          <w:tab w:val="center" w:pos="4213"/>
        </w:tabs>
        <w:snapToGrid w:val="0"/>
        <w:jc w:val="center"/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6"/>
          <w:szCs w:val="36"/>
        </w:rPr>
        <w:t>山东现代学院</w:t>
      </w:r>
      <w:r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  <w:t>教学比赛</w:t>
      </w:r>
      <w:r>
        <w:rPr>
          <w:rFonts w:hint="eastAsia" w:ascii="仿宋" w:hAnsi="仿宋" w:eastAsia="仿宋" w:cs="仿宋"/>
          <w:bCs/>
          <w:kern w:val="0"/>
          <w:sz w:val="36"/>
          <w:szCs w:val="36"/>
        </w:rPr>
        <w:t>评分</w:t>
      </w:r>
      <w:r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  <w:t>表</w:t>
      </w:r>
    </w:p>
    <w:p>
      <w:pPr>
        <w:tabs>
          <w:tab w:val="left" w:pos="1770"/>
          <w:tab w:val="center" w:pos="4213"/>
        </w:tabs>
        <w:snapToGrid w:val="0"/>
        <w:jc w:val="center"/>
        <w:rPr>
          <w:rFonts w:hint="eastAsia" w:ascii="仿宋" w:hAnsi="仿宋" w:eastAsia="仿宋" w:cs="仿宋"/>
          <w:bCs/>
          <w:kern w:val="0"/>
          <w:sz w:val="36"/>
          <w:szCs w:val="36"/>
          <w:lang w:eastAsia="zh-CN"/>
        </w:rPr>
      </w:pPr>
    </w:p>
    <w:tbl>
      <w:tblPr>
        <w:tblStyle w:val="3"/>
        <w:tblW w:w="144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9"/>
        <w:gridCol w:w="2060"/>
        <w:gridCol w:w="2059"/>
        <w:gridCol w:w="2060"/>
        <w:gridCol w:w="1949"/>
        <w:gridCol w:w="2173"/>
        <w:gridCol w:w="20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2059" w:type="dxa"/>
            <w:vMerge w:val="restart"/>
            <w:vAlign w:val="center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6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10301" w:type="dxa"/>
            <w:gridSpan w:val="5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6"/>
                <w:szCs w:val="36"/>
                <w:vertAlign w:val="baseline"/>
                <w:lang w:val="en-US" w:eastAsia="zh-CN"/>
              </w:rPr>
              <w:t>评分项目</w:t>
            </w:r>
          </w:p>
        </w:tc>
        <w:tc>
          <w:tcPr>
            <w:tcW w:w="2060" w:type="dxa"/>
            <w:vMerge w:val="restart"/>
            <w:vAlign w:val="center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36"/>
                <w:szCs w:val="36"/>
                <w:vertAlign w:val="baseline"/>
                <w:lang w:val="en-US" w:eastAsia="zh-CN"/>
              </w:rPr>
              <w:t>合计得分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</w:trPr>
        <w:tc>
          <w:tcPr>
            <w:tcW w:w="2059" w:type="dxa"/>
            <w:vMerge w:val="continue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  <w:vAlign w:val="top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教学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内容</w:t>
            </w:r>
          </w:p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35分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059" w:type="dxa"/>
            <w:vAlign w:val="top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教学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组织</w:t>
            </w:r>
          </w:p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(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分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060" w:type="dxa"/>
            <w:vAlign w:val="top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语言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教态</w:t>
            </w:r>
          </w:p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(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分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1949" w:type="dxa"/>
            <w:vAlign w:val="top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教学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特色</w:t>
            </w:r>
          </w:p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(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5分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173" w:type="dxa"/>
            <w:vAlign w:val="top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教学设计</w:t>
            </w:r>
          </w:p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 xml:space="preserve">科学合理  </w:t>
            </w:r>
          </w:p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(20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分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060" w:type="dxa"/>
            <w:vMerge w:val="continue"/>
            <w:vAlign w:val="top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3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3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3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3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3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3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3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3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3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49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3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60" w:type="dxa"/>
          </w:tcPr>
          <w:p>
            <w:pPr>
              <w:tabs>
                <w:tab w:val="left" w:pos="1770"/>
                <w:tab w:val="center" w:pos="4213"/>
              </w:tabs>
              <w:snapToGrid w:val="0"/>
              <w:jc w:val="center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jc w:val="left"/>
        <w:rPr>
          <w:rFonts w:hint="eastAsia" w:ascii="仿宋" w:hAnsi="仿宋" w:eastAsia="仿宋" w:cs="仿宋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58819"/>
    <w:multiLevelType w:val="singleLevel"/>
    <w:tmpl w:val="59E58819"/>
    <w:lvl w:ilvl="0" w:tentative="0">
      <w:start w:val="2"/>
      <w:numFmt w:val="chineseCounting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7C4487"/>
    <w:rsid w:val="008A1D59"/>
    <w:rsid w:val="0095350C"/>
    <w:rsid w:val="00B52321"/>
    <w:rsid w:val="01ED5AB5"/>
    <w:rsid w:val="02EC112D"/>
    <w:rsid w:val="03E40363"/>
    <w:rsid w:val="03EF358B"/>
    <w:rsid w:val="048F3B14"/>
    <w:rsid w:val="04E41128"/>
    <w:rsid w:val="09B76BDF"/>
    <w:rsid w:val="0A25531E"/>
    <w:rsid w:val="0BDD7FA9"/>
    <w:rsid w:val="0BF64F25"/>
    <w:rsid w:val="0C2D1224"/>
    <w:rsid w:val="0C674FD2"/>
    <w:rsid w:val="0F2B5D8D"/>
    <w:rsid w:val="0F4E0AAB"/>
    <w:rsid w:val="105F451F"/>
    <w:rsid w:val="11262EDA"/>
    <w:rsid w:val="14A85752"/>
    <w:rsid w:val="1575764E"/>
    <w:rsid w:val="159D622E"/>
    <w:rsid w:val="15D97C0A"/>
    <w:rsid w:val="16CD312A"/>
    <w:rsid w:val="192175A3"/>
    <w:rsid w:val="1A386814"/>
    <w:rsid w:val="1A5E2D70"/>
    <w:rsid w:val="1A6E6E56"/>
    <w:rsid w:val="1D393F5F"/>
    <w:rsid w:val="1D4E5D32"/>
    <w:rsid w:val="1DB72E15"/>
    <w:rsid w:val="1E051CCE"/>
    <w:rsid w:val="1EBD24F2"/>
    <w:rsid w:val="1F1F2E8D"/>
    <w:rsid w:val="1F633228"/>
    <w:rsid w:val="20122425"/>
    <w:rsid w:val="20165AEB"/>
    <w:rsid w:val="203864E0"/>
    <w:rsid w:val="23AE74BC"/>
    <w:rsid w:val="24433365"/>
    <w:rsid w:val="253B2137"/>
    <w:rsid w:val="256D304B"/>
    <w:rsid w:val="25E2023F"/>
    <w:rsid w:val="26427124"/>
    <w:rsid w:val="26995436"/>
    <w:rsid w:val="26C907D6"/>
    <w:rsid w:val="26C90AD2"/>
    <w:rsid w:val="26FD3C89"/>
    <w:rsid w:val="28197A0E"/>
    <w:rsid w:val="28257A0F"/>
    <w:rsid w:val="2892272F"/>
    <w:rsid w:val="2AAF2334"/>
    <w:rsid w:val="2B0C1722"/>
    <w:rsid w:val="2BF810D0"/>
    <w:rsid w:val="2C4064A3"/>
    <w:rsid w:val="2C702F9A"/>
    <w:rsid w:val="2D5567C9"/>
    <w:rsid w:val="2D631826"/>
    <w:rsid w:val="2E8A4AEA"/>
    <w:rsid w:val="2F7B3198"/>
    <w:rsid w:val="322C6343"/>
    <w:rsid w:val="36CF4701"/>
    <w:rsid w:val="37496210"/>
    <w:rsid w:val="38BC0E55"/>
    <w:rsid w:val="392F194D"/>
    <w:rsid w:val="3A953168"/>
    <w:rsid w:val="3BBC0A4F"/>
    <w:rsid w:val="3D830338"/>
    <w:rsid w:val="3DBB2DFC"/>
    <w:rsid w:val="3EDA6939"/>
    <w:rsid w:val="3EF323B7"/>
    <w:rsid w:val="3FA72FEF"/>
    <w:rsid w:val="3FAC1B84"/>
    <w:rsid w:val="3FEA6EF9"/>
    <w:rsid w:val="42322E44"/>
    <w:rsid w:val="429F5DBC"/>
    <w:rsid w:val="42FD15CC"/>
    <w:rsid w:val="44094E52"/>
    <w:rsid w:val="44E84453"/>
    <w:rsid w:val="45712FD1"/>
    <w:rsid w:val="47742393"/>
    <w:rsid w:val="4E90425B"/>
    <w:rsid w:val="4EAA2972"/>
    <w:rsid w:val="4EB45DE3"/>
    <w:rsid w:val="4F6045DF"/>
    <w:rsid w:val="501224DC"/>
    <w:rsid w:val="50BD1801"/>
    <w:rsid w:val="543D50EA"/>
    <w:rsid w:val="546F76EA"/>
    <w:rsid w:val="55A011FB"/>
    <w:rsid w:val="561404D2"/>
    <w:rsid w:val="564F59F6"/>
    <w:rsid w:val="56C54AD5"/>
    <w:rsid w:val="57C40439"/>
    <w:rsid w:val="57F54212"/>
    <w:rsid w:val="5A0D4A0F"/>
    <w:rsid w:val="5B892312"/>
    <w:rsid w:val="5BA41A6D"/>
    <w:rsid w:val="5C2B071D"/>
    <w:rsid w:val="5D673175"/>
    <w:rsid w:val="5F633CFF"/>
    <w:rsid w:val="60151A9B"/>
    <w:rsid w:val="60982BD2"/>
    <w:rsid w:val="61354FA9"/>
    <w:rsid w:val="64275DF8"/>
    <w:rsid w:val="644259FC"/>
    <w:rsid w:val="645B71A5"/>
    <w:rsid w:val="645E6972"/>
    <w:rsid w:val="64E73BC5"/>
    <w:rsid w:val="6584094C"/>
    <w:rsid w:val="658F68B3"/>
    <w:rsid w:val="667B650F"/>
    <w:rsid w:val="67113BBD"/>
    <w:rsid w:val="684D03AF"/>
    <w:rsid w:val="695C6F65"/>
    <w:rsid w:val="695F4B9C"/>
    <w:rsid w:val="6A504388"/>
    <w:rsid w:val="6B3448DC"/>
    <w:rsid w:val="6DA27B2D"/>
    <w:rsid w:val="6E4604DE"/>
    <w:rsid w:val="6FBC6DCA"/>
    <w:rsid w:val="70030C39"/>
    <w:rsid w:val="704245E5"/>
    <w:rsid w:val="72171B6D"/>
    <w:rsid w:val="73281B5F"/>
    <w:rsid w:val="733049E2"/>
    <w:rsid w:val="737C4487"/>
    <w:rsid w:val="74C7645D"/>
    <w:rsid w:val="7525208A"/>
    <w:rsid w:val="754049D4"/>
    <w:rsid w:val="75A6212E"/>
    <w:rsid w:val="7769712E"/>
    <w:rsid w:val="777909A7"/>
    <w:rsid w:val="786C0203"/>
    <w:rsid w:val="791371A1"/>
    <w:rsid w:val="7A12780A"/>
    <w:rsid w:val="7A223047"/>
    <w:rsid w:val="7BB460C2"/>
    <w:rsid w:val="7C1064F6"/>
    <w:rsid w:val="7D1A563A"/>
    <w:rsid w:val="7DE27F1A"/>
    <w:rsid w:val="7EC1662D"/>
    <w:rsid w:val="7F9628E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5">
    <w:name w:val="无间隔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2019-05-06T01:30:00Z</dcterms:created>
  <dc:creator>美琳</dc:creator>
  <cp:lastModifiedBy>Administrator</cp:lastModifiedBy>
  <dcterms:modified xsi:type="dcterms:W3CDTF">2019-10-11T07:27:55Z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